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70910" w14:textId="2AC0EBE9" w:rsidR="009A4868" w:rsidRPr="0083279D" w:rsidRDefault="009A4868" w:rsidP="009A4868">
      <w:pPr>
        <w:tabs>
          <w:tab w:val="center" w:pos="4536"/>
          <w:tab w:val="right" w:pos="8280"/>
          <w:tab w:val="right" w:pos="9639"/>
        </w:tabs>
        <w:ind w:right="2"/>
        <w:rPr>
          <w:rFonts w:ascii="Arial" w:hAnsi="Arial" w:cs="Arial"/>
          <w:b/>
          <w:bCs/>
          <w:lang w:val="en-US"/>
        </w:rPr>
      </w:pPr>
      <w:r w:rsidRPr="0092682D">
        <w:rPr>
          <w:rFonts w:ascii="Arial" w:hAnsi="Arial" w:cs="Arial"/>
          <w:b/>
          <w:bCs/>
        </w:rPr>
        <w:t>3GPP TSG RAN WG1 #104-e</w:t>
      </w:r>
      <w:r w:rsidRPr="0092682D">
        <w:rPr>
          <w:rFonts w:ascii="Arial" w:hAnsi="Arial" w:cs="Arial"/>
          <w:b/>
          <w:bCs/>
        </w:rPr>
        <w:tab/>
      </w:r>
      <w:r w:rsidRPr="0092682D">
        <w:rPr>
          <w:rFonts w:ascii="Arial" w:hAnsi="Arial" w:cs="Arial"/>
          <w:b/>
          <w:bCs/>
        </w:rPr>
        <w:tab/>
      </w:r>
      <w:r w:rsidRPr="0092682D">
        <w:rPr>
          <w:rFonts w:ascii="Arial" w:hAnsi="Arial" w:cs="Arial"/>
          <w:b/>
          <w:bCs/>
        </w:rPr>
        <w:tab/>
      </w:r>
      <w:r w:rsidRPr="0083279D">
        <w:rPr>
          <w:rFonts w:ascii="Arial" w:hAnsi="Arial" w:cs="Arial"/>
          <w:b/>
          <w:bCs/>
        </w:rPr>
        <w:t>R1-21</w:t>
      </w:r>
      <w:r w:rsidR="0083279D" w:rsidRPr="0083279D">
        <w:rPr>
          <w:rFonts w:ascii="Arial" w:hAnsi="Arial" w:cs="Arial"/>
          <w:b/>
          <w:bCs/>
          <w:lang w:val="en-US"/>
        </w:rPr>
        <w:t>01361</w:t>
      </w:r>
    </w:p>
    <w:p w14:paraId="1CE3815B" w14:textId="77777777" w:rsidR="009A4868" w:rsidRPr="0092682D" w:rsidRDefault="009A4868" w:rsidP="009A4868">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A4868" w:rsidRDefault="008C2DC1" w:rsidP="008C2DC1">
      <w:pPr>
        <w:tabs>
          <w:tab w:val="left" w:pos="1985"/>
        </w:tabs>
        <w:jc w:val="both"/>
        <w:rPr>
          <w:rFonts w:ascii="Arial" w:hAnsi="Arial" w:cs="Arial"/>
          <w:highlight w:val="yellow"/>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62FC1ED"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BA5F16" w:rsidRPr="00BA5F16">
        <w:rPr>
          <w:rFonts w:ascii="Arial" w:hAnsi="Arial" w:cs="Arial"/>
          <w:b/>
          <w:lang w:val="en-US"/>
        </w:rPr>
        <w:t>Discussion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6878F5E7"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B96E9D">
        <w:rPr>
          <w:rFonts w:eastAsia="MS Mincho"/>
          <w:sz w:val="20"/>
          <w:szCs w:val="20"/>
          <w:lang w:val="en-US" w:eastAsia="ja-JP"/>
        </w:rPr>
        <w:t>3</w:t>
      </w:r>
      <w:r w:rsidR="003512F3">
        <w:rPr>
          <w:rFonts w:eastAsia="MS Mincho"/>
          <w:sz w:val="20"/>
          <w:szCs w:val="20"/>
          <w:lang w:val="en-US" w:eastAsia="ja-JP"/>
        </w:rPr>
        <w:t>-e meeting [2].</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FA1586">
        <w:rPr>
          <w:rFonts w:eastAsia="MS Mincho"/>
          <w:sz w:val="20"/>
          <w:szCs w:val="20"/>
          <w:lang w:val="en-US"/>
        </w:rPr>
        <w:t>MBS reliability</w:t>
      </w:r>
      <w:r w:rsidR="003512F3">
        <w:rPr>
          <w:rFonts w:eastAsia="MS Mincho"/>
          <w:sz w:val="20"/>
          <w:szCs w:val="20"/>
          <w:lang w:val="en-US"/>
        </w:rPr>
        <w:t xml:space="preserve"> enhancement aspects</w:t>
      </w:r>
      <w:r w:rsidR="00FA1586">
        <w:rPr>
          <w:rFonts w:eastAsia="MS Mincho"/>
          <w:sz w:val="20"/>
          <w:szCs w:val="20"/>
          <w:lang w:val="en-US"/>
        </w:rPr>
        <w:t>, including the HARQ-ACK feedback mechanism, repetition enhancement, etc</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5A410A" w14:textId="085910EF" w:rsidR="00CD3D27" w:rsidRPr="00CD3D27" w:rsidRDefault="002E7FD6" w:rsidP="000C074D">
      <w:pPr>
        <w:spacing w:before="120" w:after="120"/>
        <w:rPr>
          <w:b/>
          <w:bCs/>
          <w:color w:val="000000"/>
          <w:sz w:val="20"/>
          <w:szCs w:val="20"/>
          <w:u w:val="single"/>
          <w:lang w:val="en-US"/>
        </w:rPr>
      </w:pPr>
      <w:r>
        <w:rPr>
          <w:b/>
          <w:bCs/>
          <w:color w:val="000000"/>
          <w:sz w:val="20"/>
          <w:szCs w:val="20"/>
          <w:u w:val="single"/>
          <w:lang w:val="en-US"/>
        </w:rPr>
        <w:t>Common frequency resource</w:t>
      </w:r>
    </w:p>
    <w:p w14:paraId="6C804AEA" w14:textId="16148D82" w:rsidR="00A268BF" w:rsidRDefault="002F0795" w:rsidP="000C074D">
      <w:pPr>
        <w:spacing w:before="120" w:after="120"/>
        <w:rPr>
          <w:color w:val="000000"/>
          <w:sz w:val="20"/>
          <w:szCs w:val="20"/>
          <w:lang w:val="en-US"/>
        </w:rPr>
      </w:pPr>
      <w:r>
        <w:rPr>
          <w:color w:val="000000"/>
          <w:sz w:val="20"/>
          <w:szCs w:val="20"/>
          <w:lang w:val="en-US"/>
        </w:rPr>
        <w:t xml:space="preserve">In last meeting, it was agreed to define the common frequency resource for IDEL/INACTVIE UEs. Initial BWP is default BWP for IDLE UE to receive MBS service. </w:t>
      </w:r>
      <w:r w:rsidR="0050213C">
        <w:rPr>
          <w:color w:val="000000"/>
          <w:sz w:val="20"/>
          <w:szCs w:val="20"/>
          <w:lang w:val="en-US"/>
        </w:rPr>
        <w:t>However according to current specification, if initial</w:t>
      </w:r>
      <w:r w:rsidR="00EE4EAB">
        <w:rPr>
          <w:color w:val="000000"/>
          <w:sz w:val="20"/>
          <w:szCs w:val="20"/>
          <w:lang w:val="en-US"/>
        </w:rPr>
        <w:t xml:space="preserve"> DL</w:t>
      </w:r>
      <w:r w:rsidR="0050213C">
        <w:rPr>
          <w:color w:val="000000"/>
          <w:sz w:val="20"/>
          <w:szCs w:val="20"/>
          <w:lang w:val="en-US"/>
        </w:rPr>
        <w:t xml:space="preserve"> BWP is configured, it only appl</w:t>
      </w:r>
      <w:r w:rsidR="00D6494A">
        <w:rPr>
          <w:color w:val="000000"/>
          <w:sz w:val="20"/>
          <w:szCs w:val="20"/>
          <w:lang w:val="en-US"/>
        </w:rPr>
        <w:t>ies</w:t>
      </w:r>
      <w:r w:rsidR="0050213C">
        <w:rPr>
          <w:color w:val="000000"/>
          <w:sz w:val="20"/>
          <w:szCs w:val="20"/>
          <w:lang w:val="en-US"/>
        </w:rPr>
        <w:t xml:space="preserve"> to UE after </w:t>
      </w:r>
      <w:r w:rsidR="0050213C" w:rsidRPr="0050213C">
        <w:rPr>
          <w:color w:val="000000"/>
          <w:sz w:val="20"/>
          <w:szCs w:val="20"/>
        </w:rPr>
        <w:t xml:space="preserve">reception of </w:t>
      </w:r>
      <w:r w:rsidR="0050213C" w:rsidRPr="0050213C">
        <w:rPr>
          <w:i/>
          <w:iCs/>
          <w:color w:val="000000"/>
          <w:sz w:val="20"/>
          <w:szCs w:val="20"/>
        </w:rPr>
        <w:t>RRCSetup</w:t>
      </w:r>
      <w:r w:rsidR="0050213C" w:rsidRPr="0050213C">
        <w:rPr>
          <w:color w:val="000000"/>
          <w:sz w:val="20"/>
          <w:szCs w:val="20"/>
        </w:rPr>
        <w:t>/</w:t>
      </w:r>
      <w:r w:rsidR="0050213C" w:rsidRPr="0050213C">
        <w:rPr>
          <w:i/>
          <w:iCs/>
          <w:color w:val="000000"/>
          <w:sz w:val="20"/>
          <w:szCs w:val="20"/>
        </w:rPr>
        <w:t>RRCResume/RRCReestablishment</w:t>
      </w:r>
      <w:r w:rsidR="0050213C">
        <w:rPr>
          <w:color w:val="000000"/>
          <w:sz w:val="20"/>
          <w:szCs w:val="20"/>
          <w:lang w:val="en-US"/>
        </w:rPr>
        <w:t>.</w:t>
      </w:r>
      <w:r w:rsidR="00D6494A">
        <w:rPr>
          <w:color w:val="000000"/>
          <w:sz w:val="20"/>
          <w:szCs w:val="20"/>
          <w:lang w:val="en-US"/>
        </w:rPr>
        <w:t xml:space="preserve"> </w:t>
      </w:r>
      <w:r w:rsidR="00EE4EAB">
        <w:rPr>
          <w:color w:val="000000"/>
          <w:sz w:val="20"/>
          <w:szCs w:val="20"/>
          <w:lang w:val="en-US"/>
        </w:rPr>
        <w:t>If initial DL BWP is not configured, the</w:t>
      </w:r>
      <w:r w:rsidR="00D6494A">
        <w:rPr>
          <w:color w:val="000000"/>
          <w:sz w:val="20"/>
          <w:szCs w:val="20"/>
          <w:lang w:val="en-US"/>
        </w:rPr>
        <w:t xml:space="preserve"> CORESET#0</w:t>
      </w:r>
      <w:r w:rsidR="00EE4EAB">
        <w:rPr>
          <w:color w:val="000000"/>
          <w:sz w:val="20"/>
          <w:szCs w:val="20"/>
          <w:lang w:val="en-US"/>
        </w:rPr>
        <w:t xml:space="preserve"> is the initial DL BWP by default</w:t>
      </w:r>
      <w:r w:rsidR="00D6494A">
        <w:rPr>
          <w:color w:val="000000"/>
          <w:sz w:val="20"/>
          <w:szCs w:val="20"/>
          <w:lang w:val="en-US"/>
        </w:rPr>
        <w:t>.</w:t>
      </w:r>
      <w:r w:rsidR="00EE4EAB">
        <w:rPr>
          <w:color w:val="000000"/>
          <w:sz w:val="20"/>
          <w:szCs w:val="20"/>
          <w:lang w:val="en-US"/>
        </w:rPr>
        <w:t xml:space="preserve"> Initial BWP if configured is </w:t>
      </w:r>
      <w:r w:rsidR="00566540">
        <w:rPr>
          <w:color w:val="000000"/>
          <w:sz w:val="20"/>
          <w:szCs w:val="20"/>
          <w:lang w:val="en-US"/>
        </w:rPr>
        <w:t xml:space="preserve">containing </w:t>
      </w:r>
      <w:r w:rsidR="00EE4EAB">
        <w:rPr>
          <w:color w:val="000000"/>
          <w:sz w:val="20"/>
          <w:szCs w:val="20"/>
          <w:lang w:val="en-US"/>
        </w:rPr>
        <w:t>CORESET#0 in frequency domain</w:t>
      </w:r>
      <w:r w:rsidR="00566540">
        <w:rPr>
          <w:color w:val="000000"/>
          <w:sz w:val="20"/>
          <w:szCs w:val="20"/>
          <w:lang w:val="en-US"/>
        </w:rPr>
        <w:t xml:space="preserve"> and could be larger than CORESET#0</w:t>
      </w:r>
      <w:r w:rsidR="00C370AB">
        <w:rPr>
          <w:color w:val="000000"/>
          <w:sz w:val="20"/>
          <w:szCs w:val="20"/>
          <w:lang w:val="en-US"/>
        </w:rPr>
        <w:t xml:space="preserve">, it is suitable to carry the MBS service to avoid the </w:t>
      </w:r>
      <w:r w:rsidR="00011F80">
        <w:rPr>
          <w:color w:val="000000"/>
          <w:sz w:val="20"/>
          <w:szCs w:val="20"/>
          <w:lang w:val="en-US"/>
        </w:rPr>
        <w:t xml:space="preserve">traffic </w:t>
      </w:r>
      <w:r w:rsidR="00C370AB">
        <w:rPr>
          <w:color w:val="000000"/>
          <w:sz w:val="20"/>
          <w:szCs w:val="20"/>
          <w:lang w:val="en-US"/>
        </w:rPr>
        <w:t>congestion on CORESET#0.</w:t>
      </w:r>
      <w:r w:rsidR="00566540">
        <w:rPr>
          <w:color w:val="000000"/>
          <w:sz w:val="20"/>
          <w:szCs w:val="20"/>
          <w:lang w:val="en-US"/>
        </w:rPr>
        <w:t xml:space="preserve"> It should be allowed to monitor the PDCCH and PDSCH </w:t>
      </w:r>
      <w:r w:rsidR="00011F80">
        <w:rPr>
          <w:color w:val="000000"/>
          <w:sz w:val="20"/>
          <w:szCs w:val="20"/>
          <w:lang w:val="en-US"/>
        </w:rPr>
        <w:t xml:space="preserve">on configured initial BWP </w:t>
      </w:r>
      <w:r w:rsidR="00566540">
        <w:rPr>
          <w:color w:val="000000"/>
          <w:sz w:val="20"/>
          <w:szCs w:val="20"/>
          <w:lang w:val="en-US"/>
        </w:rPr>
        <w:t xml:space="preserve">for </w:t>
      </w:r>
      <w:r w:rsidR="00011F80">
        <w:rPr>
          <w:color w:val="000000"/>
          <w:sz w:val="20"/>
          <w:szCs w:val="20"/>
          <w:lang w:val="en-US"/>
        </w:rPr>
        <w:t xml:space="preserve">IDLE mode UE receiving </w:t>
      </w:r>
      <w:r w:rsidR="00566540">
        <w:rPr>
          <w:color w:val="000000"/>
          <w:sz w:val="20"/>
          <w:szCs w:val="20"/>
          <w:lang w:val="en-US"/>
        </w:rPr>
        <w:t>MBS.</w:t>
      </w:r>
    </w:p>
    <w:tbl>
      <w:tblPr>
        <w:tblStyle w:val="TableGrid"/>
        <w:tblW w:w="0" w:type="auto"/>
        <w:tblLook w:val="04A0" w:firstRow="1" w:lastRow="0" w:firstColumn="1" w:lastColumn="0" w:noHBand="0" w:noVBand="1"/>
      </w:tblPr>
      <w:tblGrid>
        <w:gridCol w:w="9629"/>
      </w:tblGrid>
      <w:tr w:rsidR="00CD3D27" w14:paraId="0C4996AD" w14:textId="77777777" w:rsidTr="00CD3D27">
        <w:tc>
          <w:tcPr>
            <w:tcW w:w="9629" w:type="dxa"/>
          </w:tcPr>
          <w:p w14:paraId="7D37C4D8" w14:textId="77777777" w:rsidR="002E7FD6" w:rsidRPr="002E7FD6" w:rsidRDefault="002E7FD6" w:rsidP="002E7FD6">
            <w:pPr>
              <w:autoSpaceDN w:val="0"/>
              <w:spacing w:line="252" w:lineRule="auto"/>
              <w:rPr>
                <w:sz w:val="20"/>
                <w:szCs w:val="20"/>
                <w:lang w:val="en-GB"/>
              </w:rPr>
            </w:pPr>
            <w:r w:rsidRPr="002E7FD6">
              <w:rPr>
                <w:b/>
                <w:bCs/>
                <w:sz w:val="20"/>
                <w:szCs w:val="20"/>
                <w:highlight w:val="green"/>
                <w:lang w:val="en-GB"/>
              </w:rPr>
              <w:t>Agreements</w:t>
            </w:r>
            <w:r w:rsidRPr="002E7FD6">
              <w:rPr>
                <w:b/>
                <w:bCs/>
                <w:sz w:val="20"/>
                <w:szCs w:val="20"/>
                <w:lang w:val="en-GB"/>
              </w:rPr>
              <w:t xml:space="preserve">: </w:t>
            </w:r>
            <w:r w:rsidRPr="002E7FD6">
              <w:rPr>
                <w:sz w:val="20"/>
                <w:szCs w:val="20"/>
                <w:lang w:val="en-GB"/>
              </w:rPr>
              <w:t xml:space="preserve">For RRC_IDLE/RRC_INACTIVE UEs, define/configure common frequency resource(s) for </w:t>
            </w:r>
            <w:proofErr w:type="gramStart"/>
            <w:r w:rsidRPr="002E7FD6">
              <w:rPr>
                <w:sz w:val="20"/>
                <w:szCs w:val="20"/>
                <w:lang w:val="en-GB"/>
              </w:rPr>
              <w:t>group-common</w:t>
            </w:r>
            <w:proofErr w:type="gramEnd"/>
            <w:r w:rsidRPr="002E7FD6">
              <w:rPr>
                <w:sz w:val="20"/>
                <w:szCs w:val="20"/>
                <w:lang w:val="en-GB"/>
              </w:rPr>
              <w:t xml:space="preserve"> PDCCH/PDSCH.</w:t>
            </w:r>
          </w:p>
          <w:p w14:paraId="5F877B97" w14:textId="77777777" w:rsidR="002E7FD6" w:rsidRPr="002E7FD6" w:rsidRDefault="002E7FD6" w:rsidP="002E7FD6">
            <w:pPr>
              <w:numPr>
                <w:ilvl w:val="0"/>
                <w:numId w:val="16"/>
              </w:numPr>
              <w:overflowPunct w:val="0"/>
              <w:autoSpaceDE w:val="0"/>
              <w:autoSpaceDN w:val="0"/>
              <w:spacing w:line="252" w:lineRule="auto"/>
              <w:rPr>
                <w:sz w:val="20"/>
                <w:szCs w:val="20"/>
                <w:lang w:val="en-GB"/>
              </w:rPr>
            </w:pPr>
            <w:r w:rsidRPr="002E7FD6">
              <w:rPr>
                <w:sz w:val="20"/>
                <w:szCs w:val="20"/>
                <w:lang w:val="en-GB" w:eastAsia="ja-JP"/>
              </w:rPr>
              <w:t xml:space="preserve">the UE may assume the initial BWP as the default common frequency resource for group-common PDCCH/PDSCH, if a </w:t>
            </w:r>
            <w:r w:rsidRPr="002E7FD6">
              <w:rPr>
                <w:sz w:val="20"/>
                <w:szCs w:val="20"/>
              </w:rPr>
              <w:t xml:space="preserve">specific </w:t>
            </w:r>
            <w:r w:rsidRPr="002E7FD6">
              <w:rPr>
                <w:sz w:val="20"/>
                <w:szCs w:val="20"/>
                <w:lang w:val="en-GB"/>
              </w:rPr>
              <w:t>common frequency resource</w:t>
            </w:r>
            <w:r w:rsidRPr="002E7FD6">
              <w:rPr>
                <w:sz w:val="20"/>
                <w:szCs w:val="20"/>
              </w:rPr>
              <w:t xml:space="preserve"> is not configured.</w:t>
            </w:r>
          </w:p>
          <w:p w14:paraId="6B9D4A10" w14:textId="77777777" w:rsidR="002E7FD6" w:rsidRPr="002E7FD6" w:rsidRDefault="002E7FD6" w:rsidP="002E7FD6">
            <w:pPr>
              <w:numPr>
                <w:ilvl w:val="0"/>
                <w:numId w:val="16"/>
              </w:numPr>
              <w:overflowPunct w:val="0"/>
              <w:autoSpaceDE w:val="0"/>
              <w:autoSpaceDN w:val="0"/>
              <w:spacing w:line="252" w:lineRule="auto"/>
              <w:rPr>
                <w:sz w:val="20"/>
                <w:szCs w:val="20"/>
                <w:lang w:val="en-GB"/>
              </w:rPr>
            </w:pPr>
            <w:r w:rsidRPr="002E7FD6">
              <w:rPr>
                <w:sz w:val="20"/>
                <w:szCs w:val="20"/>
                <w:lang w:val="en-GB" w:eastAsia="ko-KR"/>
              </w:rPr>
              <w:t xml:space="preserve">FFS: </w:t>
            </w:r>
            <w:r w:rsidRPr="002E7FD6">
              <w:rPr>
                <w:sz w:val="20"/>
                <w:szCs w:val="20"/>
                <w:lang w:val="en-GB"/>
              </w:rPr>
              <w:t>the relation of the common frequency resource(s) (if configured) and initial BWP.</w:t>
            </w:r>
          </w:p>
          <w:p w14:paraId="0C2F2B78" w14:textId="77777777" w:rsidR="002E7FD6" w:rsidRPr="002E7FD6" w:rsidRDefault="002E7FD6" w:rsidP="002E7FD6">
            <w:pPr>
              <w:numPr>
                <w:ilvl w:val="0"/>
                <w:numId w:val="16"/>
              </w:numPr>
              <w:overflowPunct w:val="0"/>
              <w:autoSpaceDE w:val="0"/>
              <w:autoSpaceDN w:val="0"/>
              <w:rPr>
                <w:sz w:val="20"/>
                <w:szCs w:val="20"/>
                <w:lang w:val="en-GB"/>
              </w:rPr>
            </w:pPr>
            <w:r w:rsidRPr="002E7FD6">
              <w:rPr>
                <w:sz w:val="20"/>
                <w:szCs w:val="20"/>
                <w:lang w:val="en-GB"/>
              </w:rPr>
              <w:lastRenderedPageBreak/>
              <w:t>FFS: whether to configure one/more common frequency resources</w:t>
            </w:r>
          </w:p>
          <w:p w14:paraId="5019E3EB" w14:textId="08A3648D" w:rsidR="00CD3D27" w:rsidRPr="00CD3D27" w:rsidRDefault="002E7FD6" w:rsidP="002E7FD6">
            <w:pPr>
              <w:pStyle w:val="ListParagraph"/>
              <w:numPr>
                <w:ilvl w:val="1"/>
                <w:numId w:val="16"/>
              </w:numPr>
              <w:overflowPunct w:val="0"/>
              <w:autoSpaceDE w:val="0"/>
              <w:autoSpaceDN w:val="0"/>
              <w:adjustRightInd w:val="0"/>
              <w:contextualSpacing/>
              <w:rPr>
                <w:szCs w:val="20"/>
                <w:lang w:eastAsia="zh-CN"/>
              </w:rPr>
            </w:pPr>
            <w:r w:rsidRPr="002E7FD6">
              <w:rPr>
                <w:sz w:val="20"/>
                <w:szCs w:val="20"/>
                <w:lang w:val="en-GB"/>
              </w:rPr>
              <w:t>FFS: configuration and definition details of the common frequency resource</w:t>
            </w:r>
          </w:p>
        </w:tc>
      </w:tr>
    </w:tbl>
    <w:p w14:paraId="0F57FCC4" w14:textId="42179F23" w:rsidR="00C370AB" w:rsidRPr="00C370AB" w:rsidRDefault="00CD3D27" w:rsidP="00C370AB">
      <w:pPr>
        <w:spacing w:before="120" w:after="120"/>
        <w:rPr>
          <w:rFonts w:ascii="New York" w:eastAsia="SimSun" w:hAnsi="New York"/>
          <w:b/>
          <w:bCs/>
          <w:sz w:val="20"/>
          <w:szCs w:val="20"/>
          <w:lang w:val="en-US"/>
        </w:rPr>
      </w:pPr>
      <w:r w:rsidRPr="00CD3D27">
        <w:rPr>
          <w:b/>
          <w:bCs/>
          <w:color w:val="000000"/>
          <w:sz w:val="20"/>
          <w:szCs w:val="20"/>
          <w:lang w:val="en-US"/>
        </w:rPr>
        <w:lastRenderedPageBreak/>
        <w:t xml:space="preserve">Proposal 1: </w:t>
      </w:r>
      <w:r w:rsidR="00C370AB" w:rsidRPr="00C370AB">
        <w:rPr>
          <w:rFonts w:ascii="New York" w:eastAsia="SimSun" w:hAnsi="New York"/>
          <w:b/>
          <w:bCs/>
          <w:sz w:val="20"/>
          <w:szCs w:val="20"/>
          <w:lang w:val="en-US"/>
        </w:rPr>
        <w:t xml:space="preserve">For MBS UE in </w:t>
      </w:r>
      <w:r w:rsidR="00D75817">
        <w:rPr>
          <w:rFonts w:ascii="New York" w:eastAsia="SimSun" w:hAnsi="New York"/>
          <w:b/>
          <w:bCs/>
          <w:sz w:val="20"/>
          <w:szCs w:val="20"/>
          <w:lang w:val="en-US"/>
        </w:rPr>
        <w:t>RRC_</w:t>
      </w:r>
      <w:r w:rsidR="00C370AB" w:rsidRPr="00C370AB">
        <w:rPr>
          <w:rFonts w:ascii="New York" w:eastAsia="SimSun" w:hAnsi="New York"/>
          <w:b/>
          <w:bCs/>
          <w:sz w:val="20"/>
          <w:szCs w:val="20"/>
          <w:lang w:val="en-US"/>
        </w:rPr>
        <w:t>IDLE</w:t>
      </w:r>
      <w:r w:rsidR="00D75817">
        <w:rPr>
          <w:rFonts w:ascii="New York" w:eastAsia="SimSun" w:hAnsi="New York"/>
          <w:b/>
          <w:bCs/>
          <w:sz w:val="20"/>
          <w:szCs w:val="20"/>
          <w:lang w:val="en-US"/>
        </w:rPr>
        <w:t>/RRC_INACTIVE</w:t>
      </w:r>
      <w:r w:rsidR="00C370AB" w:rsidRPr="00C370AB">
        <w:rPr>
          <w:rFonts w:ascii="New York" w:eastAsia="SimSun" w:hAnsi="New York"/>
          <w:b/>
          <w:bCs/>
          <w:sz w:val="20"/>
          <w:szCs w:val="20"/>
          <w:lang w:val="en-US"/>
        </w:rPr>
        <w:t xml:space="preserve"> mode, it is allowed to monitor the PDCCH and PDSCH </w:t>
      </w:r>
      <w:r w:rsidR="00011F80">
        <w:rPr>
          <w:rFonts w:ascii="New York" w:eastAsia="SimSun" w:hAnsi="New York"/>
          <w:b/>
          <w:bCs/>
          <w:sz w:val="20"/>
          <w:szCs w:val="20"/>
          <w:lang w:val="en-US"/>
        </w:rPr>
        <w:t>o</w:t>
      </w:r>
      <w:r w:rsidR="00C370AB" w:rsidRPr="00C370AB">
        <w:rPr>
          <w:rFonts w:ascii="New York" w:eastAsia="SimSun" w:hAnsi="New York"/>
          <w:b/>
          <w:bCs/>
          <w:sz w:val="20"/>
          <w:szCs w:val="20"/>
          <w:lang w:val="en-US"/>
        </w:rPr>
        <w:t xml:space="preserve">n </w:t>
      </w:r>
      <w:r w:rsidR="00C370AB">
        <w:rPr>
          <w:rFonts w:ascii="New York" w:eastAsia="SimSun" w:hAnsi="New York"/>
          <w:b/>
          <w:bCs/>
          <w:sz w:val="20"/>
          <w:szCs w:val="20"/>
          <w:lang w:val="en-US"/>
        </w:rPr>
        <w:t xml:space="preserve">configured </w:t>
      </w:r>
      <w:r w:rsidR="00C370AB" w:rsidRPr="00C370AB">
        <w:rPr>
          <w:rFonts w:ascii="New York" w:eastAsia="SimSun" w:hAnsi="New York"/>
          <w:b/>
          <w:bCs/>
          <w:sz w:val="20"/>
          <w:szCs w:val="20"/>
          <w:lang w:val="en-US"/>
        </w:rPr>
        <w:t xml:space="preserve">initial BWP. </w:t>
      </w:r>
    </w:p>
    <w:p w14:paraId="29DF167B" w14:textId="080572BE" w:rsidR="00BD4EA2" w:rsidRDefault="00BD4EA2" w:rsidP="00BD4EA2">
      <w:pPr>
        <w:spacing w:before="120" w:after="120"/>
        <w:rPr>
          <w:color w:val="000000"/>
          <w:sz w:val="20"/>
          <w:szCs w:val="20"/>
          <w:lang w:val="en-US"/>
        </w:rPr>
      </w:pPr>
      <w:r>
        <w:rPr>
          <w:color w:val="000000"/>
          <w:sz w:val="20"/>
          <w:szCs w:val="20"/>
          <w:lang w:val="en-US"/>
        </w:rPr>
        <w:t>If configured initial BWP is not enough, a common frequency resource can be configured, whether it is new MBS BWP or common frequency region is up to the discussion on other agenda, this common frequency resource shall contain the initial BWP in frequency to avoid the BWP switching</w:t>
      </w:r>
      <w:r w:rsidR="00B62025">
        <w:rPr>
          <w:color w:val="000000"/>
          <w:sz w:val="20"/>
          <w:szCs w:val="20"/>
          <w:lang w:val="en-US"/>
        </w:rPr>
        <w:t xml:space="preserve"> and avoid the impacts on system information reception</w:t>
      </w:r>
      <w:r>
        <w:rPr>
          <w:color w:val="000000"/>
          <w:sz w:val="20"/>
          <w:szCs w:val="20"/>
          <w:lang w:val="en-US"/>
        </w:rPr>
        <w:t xml:space="preserve">. </w:t>
      </w:r>
      <w:r w:rsidR="00726F2E">
        <w:rPr>
          <w:color w:val="000000"/>
          <w:sz w:val="20"/>
          <w:szCs w:val="20"/>
          <w:lang w:val="en-US"/>
        </w:rPr>
        <w:t xml:space="preserve">For the number of common frequency resource, </w:t>
      </w:r>
      <w:r>
        <w:rPr>
          <w:color w:val="000000"/>
          <w:sz w:val="20"/>
          <w:szCs w:val="20"/>
          <w:lang w:val="en-US"/>
        </w:rPr>
        <w:t>only one common frequency resource is enough, it could be shared by different MBS service</w:t>
      </w:r>
      <w:r w:rsidR="00560D3B">
        <w:rPr>
          <w:color w:val="000000"/>
          <w:sz w:val="20"/>
          <w:szCs w:val="20"/>
          <w:lang w:val="en-US"/>
        </w:rPr>
        <w:t>s</w:t>
      </w:r>
      <w:r>
        <w:rPr>
          <w:color w:val="000000"/>
          <w:sz w:val="20"/>
          <w:szCs w:val="20"/>
          <w:lang w:val="en-US"/>
        </w:rPr>
        <w:t>.</w:t>
      </w:r>
    </w:p>
    <w:p w14:paraId="3A0B05F7" w14:textId="1E0688F7" w:rsidR="00560D3B" w:rsidRDefault="00D667AF" w:rsidP="00BD4EA2">
      <w:pPr>
        <w:spacing w:before="120" w:after="120"/>
        <w:rPr>
          <w:color w:val="000000"/>
          <w:sz w:val="20"/>
          <w:szCs w:val="20"/>
          <w:lang w:val="en-US"/>
        </w:rPr>
      </w:pPr>
      <w:r>
        <w:rPr>
          <w:color w:val="000000"/>
          <w:sz w:val="20"/>
          <w:szCs w:val="20"/>
          <w:lang w:val="en-US"/>
        </w:rPr>
        <w:t>As several frequency resource</w:t>
      </w:r>
      <w:r w:rsidR="00560D3B">
        <w:rPr>
          <w:color w:val="000000"/>
          <w:sz w:val="20"/>
          <w:szCs w:val="20"/>
          <w:lang w:val="en-US"/>
        </w:rPr>
        <w:t>s</w:t>
      </w:r>
      <w:r>
        <w:rPr>
          <w:color w:val="000000"/>
          <w:sz w:val="20"/>
          <w:szCs w:val="20"/>
          <w:lang w:val="en-US"/>
        </w:rPr>
        <w:t xml:space="preserve"> are defined for </w:t>
      </w:r>
      <w:r w:rsidR="00D75817">
        <w:rPr>
          <w:color w:val="000000"/>
          <w:sz w:val="20"/>
          <w:szCs w:val="20"/>
          <w:lang w:val="en-US"/>
        </w:rPr>
        <w:t>RRC_</w:t>
      </w:r>
      <w:r>
        <w:rPr>
          <w:color w:val="000000"/>
          <w:sz w:val="20"/>
          <w:szCs w:val="20"/>
          <w:lang w:val="en-US"/>
        </w:rPr>
        <w:t>IDLE</w:t>
      </w:r>
      <w:r w:rsidR="00D75817">
        <w:rPr>
          <w:color w:val="000000"/>
          <w:sz w:val="20"/>
          <w:szCs w:val="20"/>
          <w:lang w:val="en-US"/>
        </w:rPr>
        <w:t>/RRC_INACTIVE</w:t>
      </w:r>
      <w:r>
        <w:rPr>
          <w:color w:val="000000"/>
          <w:sz w:val="20"/>
          <w:szCs w:val="20"/>
          <w:lang w:val="en-US"/>
        </w:rPr>
        <w:t xml:space="preserve"> mode UE reception, i.e., </w:t>
      </w:r>
      <w:r w:rsidR="00436865">
        <w:rPr>
          <w:color w:val="000000"/>
          <w:sz w:val="20"/>
          <w:szCs w:val="20"/>
          <w:lang w:val="en-US"/>
        </w:rPr>
        <w:t>c</w:t>
      </w:r>
      <w:r>
        <w:rPr>
          <w:color w:val="000000"/>
          <w:sz w:val="20"/>
          <w:szCs w:val="20"/>
          <w:lang w:val="en-US"/>
        </w:rPr>
        <w:t>ommon frequency resource, configured initial BWP and CO</w:t>
      </w:r>
      <w:r w:rsidR="00560D3B">
        <w:rPr>
          <w:color w:val="000000"/>
          <w:sz w:val="20"/>
          <w:szCs w:val="20"/>
          <w:lang w:val="en-US"/>
        </w:rPr>
        <w:t>R</w:t>
      </w:r>
      <w:r>
        <w:rPr>
          <w:color w:val="000000"/>
          <w:sz w:val="20"/>
          <w:szCs w:val="20"/>
          <w:lang w:val="en-US"/>
        </w:rPr>
        <w:t>ES</w:t>
      </w:r>
      <w:r w:rsidR="00560D3B">
        <w:rPr>
          <w:color w:val="000000"/>
          <w:sz w:val="20"/>
          <w:szCs w:val="20"/>
          <w:lang w:val="en-US"/>
        </w:rPr>
        <w:t>E</w:t>
      </w:r>
      <w:r>
        <w:rPr>
          <w:color w:val="000000"/>
          <w:sz w:val="20"/>
          <w:szCs w:val="20"/>
          <w:lang w:val="en-US"/>
        </w:rPr>
        <w:t xml:space="preserve">T#0. UE need to </w:t>
      </w:r>
      <w:r w:rsidR="00560D3B">
        <w:rPr>
          <w:color w:val="000000"/>
          <w:sz w:val="20"/>
          <w:szCs w:val="20"/>
          <w:lang w:val="en-US"/>
        </w:rPr>
        <w:t xml:space="preserve">determine which resource will be used for MBS reception. </w:t>
      </w:r>
      <w:r w:rsidR="00D75817">
        <w:rPr>
          <w:color w:val="000000"/>
          <w:sz w:val="20"/>
          <w:szCs w:val="20"/>
          <w:lang w:val="en-US"/>
        </w:rPr>
        <w:t xml:space="preserve">It’s natural that </w:t>
      </w:r>
      <w:r w:rsidR="00436865">
        <w:rPr>
          <w:color w:val="000000"/>
          <w:sz w:val="20"/>
          <w:szCs w:val="20"/>
          <w:lang w:val="en-US"/>
        </w:rPr>
        <w:t xml:space="preserve">UE checks the common frequency resource </w:t>
      </w:r>
      <w:r>
        <w:rPr>
          <w:color w:val="000000"/>
          <w:sz w:val="20"/>
          <w:szCs w:val="20"/>
          <w:lang w:val="en-US"/>
        </w:rPr>
        <w:t xml:space="preserve">configuration </w:t>
      </w:r>
      <w:r w:rsidR="00436865">
        <w:rPr>
          <w:color w:val="000000"/>
          <w:sz w:val="20"/>
          <w:szCs w:val="20"/>
          <w:lang w:val="en-US"/>
        </w:rPr>
        <w:t>first, then following by configured initial BWP. If both resources are not configured, CORESET#0 is applied for MBS reception.</w:t>
      </w:r>
      <w:r>
        <w:rPr>
          <w:color w:val="000000"/>
          <w:sz w:val="20"/>
          <w:szCs w:val="20"/>
          <w:lang w:val="en-US"/>
        </w:rPr>
        <w:t xml:space="preserve"> </w:t>
      </w:r>
    </w:p>
    <w:p w14:paraId="05EEF271" w14:textId="5D8B5259" w:rsidR="00CD3D27" w:rsidRPr="00436865" w:rsidRDefault="00560D3B" w:rsidP="00BD4EA2">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sidR="00D75817">
        <w:rPr>
          <w:rFonts w:ascii="New York" w:eastAsia="SimSun" w:hAnsi="New York"/>
          <w:b/>
          <w:bCs/>
          <w:sz w:val="20"/>
          <w:szCs w:val="20"/>
          <w:lang w:val="en-US"/>
        </w:rPr>
        <w:t>RRC_</w:t>
      </w:r>
      <w:r w:rsidRPr="00C370AB">
        <w:rPr>
          <w:rFonts w:ascii="New York" w:eastAsia="SimSun" w:hAnsi="New York"/>
          <w:b/>
          <w:bCs/>
          <w:sz w:val="20"/>
          <w:szCs w:val="20"/>
          <w:lang w:val="en-US"/>
        </w:rPr>
        <w:t>IDLE</w:t>
      </w:r>
      <w:r w:rsidR="00D75817">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 </w:t>
      </w:r>
      <w:r w:rsidR="00436865">
        <w:rPr>
          <w:rFonts w:ascii="New York" w:eastAsia="SimSun" w:hAnsi="New York"/>
          <w:b/>
          <w:bCs/>
          <w:sz w:val="20"/>
          <w:szCs w:val="20"/>
          <w:lang w:val="en-US"/>
        </w:rPr>
        <w:t>it will select the frequency resource</w:t>
      </w:r>
      <w:r>
        <w:rPr>
          <w:rFonts w:ascii="New York" w:eastAsia="SimSun" w:hAnsi="New York"/>
          <w:b/>
          <w:bCs/>
          <w:sz w:val="20"/>
          <w:szCs w:val="20"/>
          <w:lang w:val="en-US"/>
        </w:rPr>
        <w:t xml:space="preserve"> </w:t>
      </w:r>
      <w:r w:rsidR="00436865">
        <w:rPr>
          <w:rFonts w:ascii="New York" w:eastAsia="SimSun" w:hAnsi="New York"/>
          <w:b/>
          <w:bCs/>
          <w:sz w:val="20"/>
          <w:szCs w:val="20"/>
          <w:lang w:val="en-US"/>
        </w:rPr>
        <w:t>for MBS reception i</w:t>
      </w:r>
      <w:r>
        <w:rPr>
          <w:rFonts w:ascii="New York" w:eastAsia="SimSun" w:hAnsi="New York"/>
          <w:b/>
          <w:bCs/>
          <w:sz w:val="20"/>
          <w:szCs w:val="20"/>
          <w:lang w:val="en-US"/>
        </w:rPr>
        <w:t>n</w:t>
      </w:r>
      <w:r w:rsidR="00436865">
        <w:rPr>
          <w:rFonts w:ascii="New York" w:eastAsia="SimSun" w:hAnsi="New York"/>
          <w:b/>
          <w:bCs/>
          <w:sz w:val="20"/>
          <w:szCs w:val="20"/>
          <w:lang w:val="en-US"/>
        </w:rPr>
        <w:t xml:space="preserve"> </w:t>
      </w:r>
      <w:r>
        <w:rPr>
          <w:rFonts w:ascii="New York" w:eastAsia="SimSun" w:hAnsi="New York"/>
          <w:b/>
          <w:bCs/>
          <w:sz w:val="20"/>
          <w:szCs w:val="20"/>
          <w:lang w:val="en-US"/>
        </w:rPr>
        <w:t xml:space="preserve">the order of common frequency resource, then configured </w:t>
      </w:r>
      <w:r w:rsidRPr="00C370AB">
        <w:rPr>
          <w:rFonts w:ascii="New York" w:eastAsia="SimSun" w:hAnsi="New York"/>
          <w:b/>
          <w:bCs/>
          <w:sz w:val="20"/>
          <w:szCs w:val="20"/>
          <w:lang w:val="en-US"/>
        </w:rPr>
        <w:t>initial BWP</w:t>
      </w:r>
      <w:r>
        <w:rPr>
          <w:rFonts w:ascii="New York" w:eastAsia="SimSun" w:hAnsi="New York"/>
          <w:b/>
          <w:bCs/>
          <w:sz w:val="20"/>
          <w:szCs w:val="20"/>
          <w:lang w:val="en-US"/>
        </w:rPr>
        <w:t>, then CORESET#0</w:t>
      </w:r>
      <w:r w:rsidRPr="00C370AB">
        <w:rPr>
          <w:rFonts w:ascii="New York" w:eastAsia="SimSun" w:hAnsi="New York"/>
          <w:b/>
          <w:bCs/>
          <w:sz w:val="20"/>
          <w:szCs w:val="20"/>
          <w:lang w:val="en-US"/>
        </w:rPr>
        <w:t xml:space="preserve">. </w:t>
      </w:r>
    </w:p>
    <w:p w14:paraId="476C9B17" w14:textId="38010D11" w:rsidR="00203C96" w:rsidRPr="00CD3D27" w:rsidRDefault="002F007E" w:rsidP="00203C96">
      <w:pPr>
        <w:spacing w:before="120" w:after="120"/>
        <w:rPr>
          <w:b/>
          <w:bCs/>
          <w:color w:val="000000"/>
          <w:sz w:val="20"/>
          <w:szCs w:val="20"/>
          <w:u w:val="single"/>
          <w:lang w:val="en-US"/>
        </w:rPr>
      </w:pPr>
      <w:r>
        <w:rPr>
          <w:b/>
          <w:bCs/>
          <w:color w:val="000000"/>
          <w:sz w:val="20"/>
          <w:szCs w:val="20"/>
          <w:u w:val="single"/>
          <w:lang w:val="en-US"/>
        </w:rPr>
        <w:t>Search space</w:t>
      </w:r>
      <w:r w:rsidR="00203C96">
        <w:rPr>
          <w:b/>
          <w:bCs/>
          <w:color w:val="000000"/>
          <w:sz w:val="20"/>
          <w:szCs w:val="20"/>
          <w:u w:val="single"/>
          <w:lang w:val="en-US"/>
        </w:rPr>
        <w:t xml:space="preserve"> for MBS</w:t>
      </w:r>
    </w:p>
    <w:p w14:paraId="5AF26A71" w14:textId="25C8744D" w:rsidR="00CD3D27" w:rsidRDefault="00466B3F" w:rsidP="000C074D">
      <w:pPr>
        <w:spacing w:before="120" w:after="120"/>
        <w:rPr>
          <w:color w:val="000000"/>
          <w:sz w:val="20"/>
          <w:szCs w:val="20"/>
          <w:lang w:val="en-US"/>
        </w:rPr>
      </w:pPr>
      <w:r>
        <w:rPr>
          <w:color w:val="000000"/>
          <w:sz w:val="20"/>
          <w:szCs w:val="20"/>
          <w:lang w:val="en-US"/>
        </w:rPr>
        <w:t>According to current specification, the Common Search Space (CSS) and UE-specific Search space (USS) are supported. One of the differences between CSS and USS is the CCE index is different. For CSS, the same CCE index is applied to all the UEs. For USS, the CCE index is different from different UEs. Another difference is the CSS has high priority than USS if the PDCCH is overbooked.  For MBS, the search space could be different from existing CSS set, i.e., type 0/0A/1/2/3 and USS set,  it is a CSS but with lower priority than USS. It is more suitable for define a new search space type for MBS, i.e., MBS CSS</w:t>
      </w:r>
      <w:r w:rsidR="00DE1AED">
        <w:rPr>
          <w:color w:val="000000"/>
          <w:sz w:val="20"/>
          <w:szCs w:val="20"/>
          <w:lang w:val="en-US"/>
        </w:rPr>
        <w:t>, and this new search space type can be used by MBS UE in RRC_CONNECTED and RRC_IDLE/RRC_INACTIVE states.</w:t>
      </w:r>
      <w:r>
        <w:rPr>
          <w:color w:val="000000"/>
          <w:sz w:val="20"/>
          <w:szCs w:val="20"/>
          <w:lang w:val="en-US"/>
        </w:rPr>
        <w:t xml:space="preserve"> The PDCCH candidates in each slot can be mapping in the order of CSS, USS, MBS CSS</w:t>
      </w:r>
      <w:r w:rsidR="004B3117">
        <w:rPr>
          <w:color w:val="000000"/>
          <w:sz w:val="20"/>
          <w:szCs w:val="20"/>
          <w:lang w:val="en-US"/>
        </w:rPr>
        <w:t>.</w:t>
      </w:r>
      <w:r w:rsidR="00203C96">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203C96" w14:paraId="7B93863C" w14:textId="77777777" w:rsidTr="00203C96">
        <w:tc>
          <w:tcPr>
            <w:tcW w:w="9629" w:type="dxa"/>
          </w:tcPr>
          <w:p w14:paraId="01803DF1" w14:textId="77777777" w:rsidR="002F007E" w:rsidRPr="002E7FD6" w:rsidRDefault="002F007E" w:rsidP="002F007E">
            <w:pPr>
              <w:overflowPunct w:val="0"/>
              <w:autoSpaceDE w:val="0"/>
              <w:autoSpaceDN w:val="0"/>
              <w:spacing w:after="120"/>
              <w:rPr>
                <w:sz w:val="20"/>
                <w:szCs w:val="20"/>
                <w:lang w:val="en-GB"/>
              </w:rPr>
            </w:pPr>
            <w:r w:rsidRPr="002E7FD6">
              <w:rPr>
                <w:sz w:val="20"/>
                <w:szCs w:val="20"/>
                <w:highlight w:val="green"/>
                <w:lang w:val="en-GB"/>
              </w:rPr>
              <w:t>Agreements</w:t>
            </w:r>
            <w:r w:rsidRPr="002E7FD6">
              <w:rPr>
                <w:b/>
                <w:bCs/>
                <w:sz w:val="20"/>
                <w:szCs w:val="20"/>
                <w:lang w:val="en-GB"/>
              </w:rPr>
              <w:t xml:space="preserve">: </w:t>
            </w:r>
            <w:r w:rsidRPr="002E7FD6">
              <w:rPr>
                <w:sz w:val="20"/>
                <w:szCs w:val="20"/>
                <w:lang w:val="en-GB"/>
              </w:rPr>
              <w:t xml:space="preserve">For RRC_IDLE/RRC_INACTIVE UEs, CSS is supported for </w:t>
            </w:r>
            <w:proofErr w:type="gramStart"/>
            <w:r w:rsidRPr="002E7FD6">
              <w:rPr>
                <w:sz w:val="20"/>
                <w:szCs w:val="20"/>
                <w:lang w:val="en-GB"/>
              </w:rPr>
              <w:t>group-common</w:t>
            </w:r>
            <w:proofErr w:type="gramEnd"/>
            <w:r w:rsidRPr="002E7FD6">
              <w:rPr>
                <w:sz w:val="20"/>
                <w:szCs w:val="20"/>
                <w:lang w:val="en-GB"/>
              </w:rPr>
              <w:t xml:space="preserve"> PDCCH.</w:t>
            </w:r>
          </w:p>
          <w:p w14:paraId="2FD4F0D0" w14:textId="77777777" w:rsidR="002F007E" w:rsidRPr="002E7FD6" w:rsidRDefault="002F007E" w:rsidP="002F007E">
            <w:pPr>
              <w:numPr>
                <w:ilvl w:val="0"/>
                <w:numId w:val="17"/>
              </w:numPr>
              <w:overflowPunct w:val="0"/>
              <w:autoSpaceDE w:val="0"/>
              <w:autoSpaceDN w:val="0"/>
              <w:spacing w:after="180"/>
              <w:rPr>
                <w:sz w:val="20"/>
                <w:szCs w:val="20"/>
                <w:lang w:val="en-GB"/>
              </w:rPr>
            </w:pPr>
            <w:r w:rsidRPr="002E7FD6">
              <w:rPr>
                <w:sz w:val="20"/>
                <w:szCs w:val="20"/>
                <w:lang w:val="en-GB"/>
              </w:rPr>
              <w:t>FFS: reuse current CSS type, define a new CSS type, etc.</w:t>
            </w:r>
          </w:p>
          <w:p w14:paraId="62AF566D" w14:textId="430936FE" w:rsidR="00203C96" w:rsidRPr="004B3117" w:rsidRDefault="002F007E" w:rsidP="004B3117">
            <w:pPr>
              <w:numPr>
                <w:ilvl w:val="0"/>
                <w:numId w:val="17"/>
              </w:numPr>
              <w:overflowPunct w:val="0"/>
              <w:autoSpaceDE w:val="0"/>
              <w:autoSpaceDN w:val="0"/>
              <w:spacing w:after="180"/>
              <w:rPr>
                <w:sz w:val="20"/>
                <w:szCs w:val="20"/>
                <w:lang w:val="en-GB"/>
              </w:rPr>
            </w:pPr>
            <w:r w:rsidRPr="002E7FD6">
              <w:rPr>
                <w:sz w:val="20"/>
                <w:szCs w:val="20"/>
                <w:lang w:val="en-GB"/>
              </w:rPr>
              <w:t>FFS other details.</w:t>
            </w:r>
          </w:p>
        </w:tc>
      </w:tr>
    </w:tbl>
    <w:p w14:paraId="0A05C5BD" w14:textId="2A037B9A" w:rsidR="004B3117" w:rsidRPr="004C681D" w:rsidRDefault="004B3117" w:rsidP="004B3117">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3: </w:t>
      </w:r>
      <w:r w:rsidRPr="00F5183C">
        <w:rPr>
          <w:rFonts w:eastAsia="SimSun"/>
          <w:b/>
          <w:bCs/>
          <w:sz w:val="20"/>
          <w:szCs w:val="20"/>
          <w:lang w:val="en-US"/>
        </w:rPr>
        <w:t xml:space="preserve">Define a new </w:t>
      </w:r>
      <w:r w:rsidR="00B03E27">
        <w:rPr>
          <w:rFonts w:eastAsia="SimSun"/>
          <w:b/>
          <w:bCs/>
          <w:sz w:val="20"/>
          <w:szCs w:val="20"/>
          <w:lang w:val="en-US"/>
        </w:rPr>
        <w:t xml:space="preserve">common </w:t>
      </w:r>
      <w:r w:rsidRPr="00F5183C">
        <w:rPr>
          <w:rFonts w:eastAsia="SimSun"/>
          <w:b/>
          <w:bCs/>
          <w:sz w:val="20"/>
          <w:szCs w:val="20"/>
          <w:lang w:val="en-US"/>
        </w:rPr>
        <w:t>search space type for multicast</w:t>
      </w:r>
      <w:r>
        <w:rPr>
          <w:b/>
          <w:bCs/>
          <w:sz w:val="20"/>
          <w:szCs w:val="20"/>
          <w:lang w:val="en-US"/>
        </w:rPr>
        <w:t>.</w:t>
      </w:r>
    </w:p>
    <w:p w14:paraId="1DE6452F" w14:textId="77777777" w:rsidR="00D12367" w:rsidRDefault="00D12367" w:rsidP="00D12367">
      <w:pPr>
        <w:pStyle w:val="Heading1"/>
      </w:pPr>
      <w:r>
        <w:t>Summary</w:t>
      </w:r>
    </w:p>
    <w:p w14:paraId="25F8D0AD" w14:textId="2FEAA2C3"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13D243AE" w14:textId="77777777" w:rsidR="00D75817" w:rsidRPr="00C370AB" w:rsidRDefault="00D75817" w:rsidP="00D75817">
      <w:pPr>
        <w:spacing w:before="120" w:after="120"/>
        <w:rPr>
          <w:rFonts w:ascii="New York" w:eastAsia="SimSun" w:hAnsi="New York"/>
          <w:b/>
          <w:bCs/>
          <w:sz w:val="20"/>
          <w:szCs w:val="20"/>
          <w:lang w:val="en-US"/>
        </w:rPr>
      </w:pPr>
      <w:r w:rsidRPr="00CD3D27">
        <w:rPr>
          <w:b/>
          <w:bCs/>
          <w:color w:val="000000"/>
          <w:sz w:val="20"/>
          <w:szCs w:val="20"/>
          <w:lang w:val="en-US"/>
        </w:rPr>
        <w:t xml:space="preserve">Proposal 1: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 it is allowed to monitor the PDCCH and PDSCH </w:t>
      </w:r>
      <w:r>
        <w:rPr>
          <w:rFonts w:ascii="New York" w:eastAsia="SimSun" w:hAnsi="New York"/>
          <w:b/>
          <w:bCs/>
          <w:sz w:val="20"/>
          <w:szCs w:val="20"/>
          <w:lang w:val="en-US"/>
        </w:rPr>
        <w:t>o</w:t>
      </w:r>
      <w:r w:rsidRPr="00C370AB">
        <w:rPr>
          <w:rFonts w:ascii="New York" w:eastAsia="SimSun" w:hAnsi="New York"/>
          <w:b/>
          <w:bCs/>
          <w:sz w:val="20"/>
          <w:szCs w:val="20"/>
          <w:lang w:val="en-US"/>
        </w:rPr>
        <w:t xml:space="preserve">n </w:t>
      </w:r>
      <w:r>
        <w:rPr>
          <w:rFonts w:ascii="New York" w:eastAsia="SimSun" w:hAnsi="New York"/>
          <w:b/>
          <w:bCs/>
          <w:sz w:val="20"/>
          <w:szCs w:val="20"/>
          <w:lang w:val="en-US"/>
        </w:rPr>
        <w:t xml:space="preserve">configured </w:t>
      </w:r>
      <w:r w:rsidRPr="00C370AB">
        <w:rPr>
          <w:rFonts w:ascii="New York" w:eastAsia="SimSun" w:hAnsi="New York"/>
          <w:b/>
          <w:bCs/>
          <w:sz w:val="20"/>
          <w:szCs w:val="20"/>
          <w:lang w:val="en-US"/>
        </w:rPr>
        <w:t xml:space="preserve">initial BWP. </w:t>
      </w:r>
    </w:p>
    <w:p w14:paraId="12D9CB6C" w14:textId="48291012" w:rsidR="00D75817" w:rsidRDefault="00D75817" w:rsidP="000E7B72">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2</w:t>
      </w:r>
      <w:r w:rsidRPr="00CD3D27">
        <w:rPr>
          <w:b/>
          <w:bCs/>
          <w:color w:val="000000"/>
          <w:sz w:val="20"/>
          <w:szCs w:val="20"/>
          <w:lang w:val="en-US"/>
        </w:rPr>
        <w:t xml:space="preserve">: </w:t>
      </w:r>
      <w:r w:rsidRPr="00C370AB">
        <w:rPr>
          <w:rFonts w:ascii="New York" w:eastAsia="SimSun" w:hAnsi="New York"/>
          <w:b/>
          <w:bCs/>
          <w:sz w:val="20"/>
          <w:szCs w:val="20"/>
          <w:lang w:val="en-US"/>
        </w:rPr>
        <w:t xml:space="preserve">For MBS UE in </w:t>
      </w:r>
      <w:r>
        <w:rPr>
          <w:rFonts w:ascii="New York" w:eastAsia="SimSun" w:hAnsi="New York"/>
          <w:b/>
          <w:bCs/>
          <w:sz w:val="20"/>
          <w:szCs w:val="20"/>
          <w:lang w:val="en-US"/>
        </w:rPr>
        <w:t>RRC_</w:t>
      </w:r>
      <w:r w:rsidRPr="00C370AB">
        <w:rPr>
          <w:rFonts w:ascii="New York" w:eastAsia="SimSun" w:hAnsi="New York"/>
          <w:b/>
          <w:bCs/>
          <w:sz w:val="20"/>
          <w:szCs w:val="20"/>
          <w:lang w:val="en-US"/>
        </w:rPr>
        <w:t>IDLE</w:t>
      </w:r>
      <w:r>
        <w:rPr>
          <w:rFonts w:ascii="New York" w:eastAsia="SimSun" w:hAnsi="New York"/>
          <w:b/>
          <w:bCs/>
          <w:sz w:val="20"/>
          <w:szCs w:val="20"/>
          <w:lang w:val="en-US"/>
        </w:rPr>
        <w:t>/RRC_INACTIVE</w:t>
      </w:r>
      <w:r w:rsidRPr="00C370AB">
        <w:rPr>
          <w:rFonts w:ascii="New York" w:eastAsia="SimSun" w:hAnsi="New York"/>
          <w:b/>
          <w:bCs/>
          <w:sz w:val="20"/>
          <w:szCs w:val="20"/>
          <w:lang w:val="en-US"/>
        </w:rPr>
        <w:t xml:space="preserve"> mode, </w:t>
      </w:r>
      <w:r>
        <w:rPr>
          <w:rFonts w:ascii="New York" w:eastAsia="SimSun" w:hAnsi="New York"/>
          <w:b/>
          <w:bCs/>
          <w:sz w:val="20"/>
          <w:szCs w:val="20"/>
          <w:lang w:val="en-US"/>
        </w:rPr>
        <w:t xml:space="preserve">it will select the frequency resource for MBS reception in the order of common frequency resource, then configured </w:t>
      </w:r>
      <w:r w:rsidRPr="00C370AB">
        <w:rPr>
          <w:rFonts w:ascii="New York" w:eastAsia="SimSun" w:hAnsi="New York"/>
          <w:b/>
          <w:bCs/>
          <w:sz w:val="20"/>
          <w:szCs w:val="20"/>
          <w:lang w:val="en-US"/>
        </w:rPr>
        <w:t>initial BWP</w:t>
      </w:r>
      <w:r>
        <w:rPr>
          <w:rFonts w:ascii="New York" w:eastAsia="SimSun" w:hAnsi="New York"/>
          <w:b/>
          <w:bCs/>
          <w:sz w:val="20"/>
          <w:szCs w:val="20"/>
          <w:lang w:val="en-US"/>
        </w:rPr>
        <w:t>, then CORESET#0</w:t>
      </w:r>
      <w:r w:rsidRPr="00C370AB">
        <w:rPr>
          <w:rFonts w:ascii="New York" w:eastAsia="SimSun" w:hAnsi="New York"/>
          <w:b/>
          <w:bCs/>
          <w:sz w:val="20"/>
          <w:szCs w:val="20"/>
          <w:lang w:val="en-US"/>
        </w:rPr>
        <w:t xml:space="preserve">. </w:t>
      </w:r>
    </w:p>
    <w:p w14:paraId="6A5A6212" w14:textId="101BEBA9" w:rsidR="00466B3F" w:rsidRPr="00466B3F" w:rsidRDefault="00466B3F" w:rsidP="00466B3F">
      <w:pPr>
        <w:pStyle w:val="BodyText"/>
        <w:spacing w:before="120"/>
        <w:rPr>
          <w:b/>
          <w:bCs/>
          <w:color w:val="000000"/>
          <w:sz w:val="20"/>
          <w:szCs w:val="20"/>
          <w:lang w:val="en-US"/>
        </w:rPr>
      </w:pPr>
      <w:r>
        <w:rPr>
          <w:rFonts w:eastAsia="SimSun" w:hint="eastAsia"/>
          <w:b/>
          <w:bCs/>
          <w:sz w:val="20"/>
          <w:szCs w:val="20"/>
          <w:lang w:val="en-US"/>
        </w:rPr>
        <w:t>Proposal</w:t>
      </w:r>
      <w:r>
        <w:rPr>
          <w:rFonts w:eastAsia="SimSun"/>
          <w:b/>
          <w:bCs/>
          <w:sz w:val="20"/>
          <w:szCs w:val="20"/>
          <w:lang w:val="en-US"/>
        </w:rPr>
        <w:t xml:space="preserve"> 3: </w:t>
      </w:r>
      <w:r w:rsidRPr="00F5183C">
        <w:rPr>
          <w:rFonts w:eastAsia="SimSun"/>
          <w:b/>
          <w:bCs/>
          <w:sz w:val="20"/>
          <w:szCs w:val="20"/>
          <w:lang w:val="en-US"/>
        </w:rPr>
        <w:t>Define a new</w:t>
      </w:r>
      <w:r w:rsidR="00F855F2">
        <w:rPr>
          <w:rFonts w:eastAsia="SimSun"/>
          <w:b/>
          <w:bCs/>
          <w:sz w:val="20"/>
          <w:szCs w:val="20"/>
          <w:lang w:val="en-US"/>
        </w:rPr>
        <w:t xml:space="preserve"> common</w:t>
      </w:r>
      <w:r w:rsidRPr="00F5183C">
        <w:rPr>
          <w:rFonts w:eastAsia="SimSun"/>
          <w:b/>
          <w:bCs/>
          <w:sz w:val="20"/>
          <w:szCs w:val="20"/>
          <w:lang w:val="en-US"/>
        </w:rPr>
        <w:t xml:space="preserve"> search space type for multicast</w:t>
      </w:r>
      <w:r>
        <w:rPr>
          <w:b/>
          <w:bCs/>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6ACF8692" w:rsidR="00120E8E" w:rsidRPr="003512F3"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6097A96F" w14:textId="33489ADF" w:rsidR="003512F3" w:rsidRPr="00685E25" w:rsidRDefault="003512F3" w:rsidP="003512F3">
      <w:pPr>
        <w:widowControl w:val="0"/>
        <w:numPr>
          <w:ilvl w:val="0"/>
          <w:numId w:val="5"/>
        </w:numPr>
        <w:jc w:val="both"/>
        <w:rPr>
          <w:sz w:val="20"/>
          <w:szCs w:val="20"/>
        </w:rPr>
      </w:pPr>
      <w:r w:rsidRPr="009900A3">
        <w:rPr>
          <w:sz w:val="20"/>
          <w:szCs w:val="20"/>
          <w:lang w:val="en-US"/>
        </w:rPr>
        <w:t>R1-</w:t>
      </w:r>
      <w:r w:rsidRPr="0050157E">
        <w:rPr>
          <w:sz w:val="20"/>
          <w:szCs w:val="20"/>
        </w:rPr>
        <w:t>2</w:t>
      </w:r>
      <w:r w:rsidR="00B96E9D">
        <w:rPr>
          <w:sz w:val="20"/>
          <w:szCs w:val="20"/>
          <w:lang w:val="en-US"/>
        </w:rPr>
        <w:t>1</w:t>
      </w:r>
      <w:r w:rsidRPr="0050157E">
        <w:rPr>
          <w:sz w:val="20"/>
          <w:szCs w:val="20"/>
        </w:rPr>
        <w:t>00</w:t>
      </w:r>
      <w:r w:rsidR="00B96E9D">
        <w:rPr>
          <w:sz w:val="20"/>
          <w:szCs w:val="20"/>
          <w:lang w:val="en-US"/>
        </w:rPr>
        <w:t>0</w:t>
      </w:r>
      <w:r w:rsidRPr="0050157E">
        <w:rPr>
          <w:sz w:val="20"/>
          <w:szCs w:val="20"/>
        </w:rPr>
        <w:t>01</w:t>
      </w:r>
      <w:r w:rsidRPr="009900A3">
        <w:rPr>
          <w:sz w:val="20"/>
          <w:szCs w:val="20"/>
          <w:lang w:val="en-US"/>
        </w:rPr>
        <w:t>, “Report of RAN1#10</w:t>
      </w:r>
      <w:r w:rsidR="00B96E9D">
        <w:rPr>
          <w:sz w:val="20"/>
          <w:szCs w:val="20"/>
          <w:lang w:val="en-US"/>
        </w:rPr>
        <w:t>3</w:t>
      </w:r>
      <w:r w:rsidRPr="009900A3">
        <w:rPr>
          <w:sz w:val="20"/>
          <w:szCs w:val="20"/>
          <w:lang w:val="en-US"/>
        </w:rPr>
        <w:t>-e meeting”, ETSI MCC</w:t>
      </w:r>
    </w:p>
    <w:p w14:paraId="4193E8F5" w14:textId="77777777" w:rsidR="003512F3" w:rsidRPr="00DC51FC" w:rsidRDefault="003512F3" w:rsidP="003512F3">
      <w:pPr>
        <w:widowControl w:val="0"/>
        <w:ind w:left="420"/>
        <w:jc w:val="both"/>
        <w:rPr>
          <w:sz w:val="20"/>
          <w:szCs w:val="20"/>
        </w:rPr>
      </w:pPr>
    </w:p>
    <w:bookmarkEnd w:id="2"/>
    <w:bookmarkEnd w:id="3"/>
    <w:p w14:paraId="35DECD12" w14:textId="77777777" w:rsidR="007539D6" w:rsidRDefault="007539D6" w:rsidP="007539D6">
      <w:pPr>
        <w:rPr>
          <w:rFonts w:ascii="Calibri" w:hAnsi="Calibri" w:cs="Calibri"/>
          <w:color w:val="1F497D"/>
          <w:sz w:val="21"/>
          <w:szCs w:val="21"/>
          <w:lang w:val="en-GB"/>
        </w:rPr>
      </w:pPr>
    </w:p>
    <w:p w14:paraId="7AB01B72" w14:textId="77777777" w:rsidR="007539D6" w:rsidRDefault="007539D6" w:rsidP="007539D6">
      <w:pPr>
        <w:rPr>
          <w:rFonts w:eastAsia="MS Mincho"/>
          <w:szCs w:val="20"/>
          <w:lang w:eastAsia="ja-JP"/>
        </w:rPr>
      </w:pPr>
    </w:p>
    <w:p w14:paraId="7BD16587" w14:textId="055EED92" w:rsidR="009B5204" w:rsidRPr="002E7FD6" w:rsidRDefault="009B5204" w:rsidP="009B5204">
      <w:pPr>
        <w:pStyle w:val="BodyText"/>
        <w:rPr>
          <w:rFonts w:eastAsia="SimSun"/>
          <w:sz w:val="20"/>
          <w:szCs w:val="20"/>
          <w:lang w:val="en-GB"/>
        </w:rPr>
      </w:pPr>
    </w:p>
    <w:sectPr w:rsidR="009B5204" w:rsidRPr="002E7FD6"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535AE" w14:textId="77777777" w:rsidR="006C6E3E" w:rsidRDefault="006C6E3E">
      <w:r>
        <w:separator/>
      </w:r>
    </w:p>
  </w:endnote>
  <w:endnote w:type="continuationSeparator" w:id="0">
    <w:p w14:paraId="1E2B5431" w14:textId="77777777" w:rsidR="006C6E3E" w:rsidRDefault="006C6E3E">
      <w:r>
        <w:continuationSeparator/>
      </w:r>
    </w:p>
  </w:endnote>
  <w:endnote w:type="continuationNotice" w:id="1">
    <w:p w14:paraId="462F6FC3" w14:textId="77777777" w:rsidR="006C6E3E" w:rsidRDefault="006C6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62A69" w14:textId="77777777" w:rsidR="006C6E3E" w:rsidRDefault="006C6E3E">
      <w:r>
        <w:separator/>
      </w:r>
    </w:p>
  </w:footnote>
  <w:footnote w:type="continuationSeparator" w:id="0">
    <w:p w14:paraId="64014659" w14:textId="77777777" w:rsidR="006C6E3E" w:rsidRDefault="006C6E3E">
      <w:r>
        <w:continuationSeparator/>
      </w:r>
    </w:p>
  </w:footnote>
  <w:footnote w:type="continuationNotice" w:id="1">
    <w:p w14:paraId="0B2BE8AB" w14:textId="77777777" w:rsidR="006C6E3E" w:rsidRDefault="006C6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0"/>
  </w:num>
  <w:num w:numId="8">
    <w:abstractNumId w:val="14"/>
  </w:num>
  <w:num w:numId="9">
    <w:abstractNumId w:val="5"/>
  </w:num>
  <w:num w:numId="10">
    <w:abstractNumId w:val="8"/>
  </w:num>
  <w:num w:numId="11">
    <w:abstractNumId w:val="16"/>
  </w:num>
  <w:num w:numId="12">
    <w:abstractNumId w:val="17"/>
  </w:num>
  <w:num w:numId="13">
    <w:abstractNumId w:val="19"/>
  </w:num>
  <w:num w:numId="14">
    <w:abstractNumId w:val="0"/>
  </w:num>
  <w:num w:numId="15">
    <w:abstractNumId w:val="3"/>
  </w:num>
  <w:num w:numId="16">
    <w:abstractNumId w:val="19"/>
  </w:num>
  <w:num w:numId="17">
    <w:abstractNumId w:val="18"/>
  </w:num>
  <w:num w:numId="18">
    <w:abstractNumId w:val="21"/>
  </w:num>
  <w:num w:numId="19">
    <w:abstractNumId w:val="15"/>
  </w:num>
  <w:num w:numId="20">
    <w:abstractNumId w:val="13"/>
  </w:num>
  <w:num w:numId="21">
    <w:abstractNumId w:val="6"/>
  </w:num>
  <w:num w:numId="22">
    <w:abstractNumId w:val="4"/>
  </w:num>
  <w:num w:numId="23">
    <w:abstractNumId w:val="9"/>
  </w:num>
  <w:num w:numId="24">
    <w:abstractNumId w:val="22"/>
  </w:num>
  <w:num w:numId="2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6B2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25</TotalTime>
  <Pages>2</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9</cp:revision>
  <cp:lastPrinted>2019-08-16T17:50:00Z</cp:lastPrinted>
  <dcterms:created xsi:type="dcterms:W3CDTF">2021-01-16T07:11:00Z</dcterms:created>
  <dcterms:modified xsi:type="dcterms:W3CDTF">2021-01-17T07:21:00Z</dcterms:modified>
  <cp:category/>
</cp:coreProperties>
</file>